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F5" w:rsidRDefault="005139F5" w:rsidP="005139F5">
      <w:pPr>
        <w:textAlignment w:val="center"/>
        <w:rPr>
          <w:rFonts w:ascii="微軟正黑體" w:eastAsia="微軟正黑體" w:hAnsi="微軟正黑體" w:cs="新細明體"/>
          <w:b/>
          <w:color w:val="000000" w:themeColor="text1"/>
          <w:spacing w:val="15"/>
          <w:sz w:val="44"/>
          <w:szCs w:val="44"/>
        </w:rPr>
      </w:pPr>
      <w:r>
        <w:rPr>
          <w:noProof/>
        </w:rPr>
        <w:drawing>
          <wp:inline distT="0" distB="0" distL="0" distR="0" wp14:anchorId="215984B1" wp14:editId="024436B2">
            <wp:extent cx="1200150" cy="257175"/>
            <wp:effectExtent l="0" t="0" r="0" b="9525"/>
            <wp:docPr id="1" name="圖片 1" descr="C:\Users\debrahuang\AppData\Local\Microsoft\Windows\Temporary Internet Files\Content.Word\經濟部-logo中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huang\AppData\Local\Microsoft\Windows\Temporary Internet Files\Content.Word\經濟部-logo中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0" t="54237" r="-1" b="1"/>
                    <a:stretch/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9F5" w:rsidRPr="007C4936" w:rsidRDefault="00863A19" w:rsidP="005139F5">
      <w:pPr>
        <w:jc w:val="center"/>
        <w:textAlignment w:val="center"/>
        <w:rPr>
          <w:rFonts w:ascii="微軟正黑體" w:eastAsia="微軟正黑體" w:hAnsi="微軟正黑體" w:cs="新細明體"/>
          <w:b/>
          <w:color w:val="000000" w:themeColor="text1"/>
          <w:spacing w:val="15"/>
          <w:sz w:val="32"/>
          <w:szCs w:val="36"/>
        </w:rPr>
      </w:pPr>
      <w:bookmarkStart w:id="0" w:name="_GoBack"/>
      <w:r w:rsidRPr="00863A19">
        <w:rPr>
          <w:rFonts w:ascii="微軟正黑體" w:eastAsia="微軟正黑體" w:hAnsi="微軟正黑體" w:cs="新細明體" w:hint="eastAsia"/>
          <w:b/>
          <w:color w:val="000000" w:themeColor="text1"/>
          <w:spacing w:val="15"/>
          <w:sz w:val="32"/>
          <w:szCs w:val="32"/>
        </w:rPr>
        <w:t>2018新南向投資實務系列 - 印尼、菲律賓投資實戰經驗分享</w:t>
      </w:r>
      <w:bookmarkEnd w:id="0"/>
      <w:r w:rsidR="005139F5" w:rsidRPr="007C4936">
        <w:rPr>
          <w:rFonts w:ascii="微軟正黑體" w:eastAsia="微軟正黑體" w:hAnsi="微軟正黑體" w:cs="新細明體" w:hint="eastAsia"/>
          <w:b/>
          <w:color w:val="000000" w:themeColor="text1"/>
          <w:spacing w:val="15"/>
          <w:sz w:val="32"/>
          <w:szCs w:val="36"/>
        </w:rPr>
        <w:t>【報名表】</w:t>
      </w:r>
    </w:p>
    <w:tbl>
      <w:tblPr>
        <w:tblStyle w:val="a4"/>
        <w:tblW w:w="10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268"/>
        <w:gridCol w:w="2014"/>
        <w:gridCol w:w="1094"/>
        <w:gridCol w:w="1144"/>
        <w:gridCol w:w="3036"/>
      </w:tblGrid>
      <w:tr w:rsidR="005139F5" w:rsidRPr="006B5BF0" w:rsidTr="003E44D6">
        <w:trPr>
          <w:trHeight w:val="309"/>
        </w:trPr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公司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32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9F5" w:rsidRPr="006B5BF0" w:rsidRDefault="00A75A7A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部門</w:t>
            </w:r>
          </w:p>
        </w:tc>
        <w:tc>
          <w:tcPr>
            <w:tcW w:w="41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</w:tr>
      <w:tr w:rsidR="005139F5" w:rsidRPr="006B5BF0" w:rsidTr="003E44D6">
        <w:trPr>
          <w:trHeight w:val="309"/>
        </w:trPr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傳真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9F5" w:rsidRPr="006B5BF0" w:rsidRDefault="005139F5" w:rsidP="003E44D6">
            <w:pPr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</w:tr>
      <w:tr w:rsidR="005139F5" w:rsidRPr="006B5BF0" w:rsidTr="003E44D6">
        <w:trPr>
          <w:trHeight w:val="309"/>
        </w:trPr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036" w:type="dxa"/>
            <w:tcBorders>
              <w:top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  <w:r w:rsidRPr="006B5BF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E-Mail</w:t>
            </w:r>
          </w:p>
        </w:tc>
      </w:tr>
      <w:tr w:rsidR="005139F5" w:rsidRPr="006B5BF0" w:rsidTr="003E44D6">
        <w:trPr>
          <w:trHeight w:val="309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144" w:type="dxa"/>
            <w:vAlign w:val="center"/>
          </w:tcPr>
          <w:p w:rsidR="005139F5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5139F5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</w:tr>
      <w:tr w:rsidR="005139F5" w:rsidRPr="006B5BF0" w:rsidTr="003E44D6">
        <w:trPr>
          <w:trHeight w:val="309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144" w:type="dxa"/>
            <w:vAlign w:val="center"/>
          </w:tcPr>
          <w:p w:rsidR="005139F5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5139F5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</w:tr>
      <w:tr w:rsidR="005139F5" w:rsidRPr="006B5BF0" w:rsidTr="003E44D6">
        <w:trPr>
          <w:trHeight w:val="309"/>
        </w:trPr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vAlign w:val="center"/>
          </w:tcPr>
          <w:p w:rsidR="005139F5" w:rsidRPr="006B5BF0" w:rsidRDefault="005139F5" w:rsidP="003E44D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144" w:type="dxa"/>
            <w:vAlign w:val="center"/>
          </w:tcPr>
          <w:p w:rsidR="005139F5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5139F5" w:rsidRDefault="005139F5" w:rsidP="003E44D6">
            <w:pPr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5"/>
                <w:sz w:val="28"/>
                <w:szCs w:val="28"/>
                <w:lang w:eastAsia="zh-TW"/>
              </w:rPr>
            </w:pPr>
          </w:p>
        </w:tc>
      </w:tr>
    </w:tbl>
    <w:p w:rsidR="007C4936" w:rsidRDefault="007C4936" w:rsidP="007C4936">
      <w:pPr>
        <w:spacing w:before="120" w:line="180" w:lineRule="exact"/>
        <w:rPr>
          <w:rFonts w:ascii="微軟正黑體" w:eastAsia="微軟正黑體" w:hAnsi="微軟正黑體" w:cs="Arial"/>
          <w:b/>
          <w:color w:val="444444"/>
          <w:sz w:val="20"/>
          <w:szCs w:val="20"/>
        </w:rPr>
      </w:pPr>
    </w:p>
    <w:p w:rsidR="007C4936" w:rsidRPr="007C4936" w:rsidRDefault="007C4936" w:rsidP="000D5ED5">
      <w:pPr>
        <w:snapToGrid w:val="0"/>
        <w:spacing w:line="480" w:lineRule="atLeast"/>
        <w:rPr>
          <w:rFonts w:ascii="微軟正黑體" w:eastAsia="微軟正黑體" w:hAnsi="微軟正黑體" w:cs="Arial"/>
          <w:b/>
          <w:color w:val="444444"/>
          <w:sz w:val="20"/>
          <w:szCs w:val="20"/>
        </w:rPr>
      </w:pPr>
      <w:r w:rsidRPr="007C4936">
        <w:rPr>
          <w:rStyle w:val="a3"/>
          <w:rFonts w:ascii="微軟正黑體" w:eastAsia="微軟正黑體" w:hAnsi="微軟正黑體" w:hint="eastAsia"/>
          <w:b/>
          <w:sz w:val="28"/>
          <w:szCs w:val="24"/>
          <w:u w:val="none"/>
        </w:rPr>
        <w:t>報名網址：</w:t>
      </w:r>
      <w:r w:rsidRPr="007C4936">
        <w:rPr>
          <w:rStyle w:val="a3"/>
          <w:rFonts w:ascii="微軟正黑體" w:eastAsia="微軟正黑體" w:hAnsi="微軟正黑體" w:hint="eastAsia"/>
          <w:sz w:val="28"/>
          <w:szCs w:val="24"/>
          <w:u w:val="none"/>
        </w:rPr>
        <w:t xml:space="preserve">　　</w:t>
      </w:r>
      <w:r w:rsidR="00863A19" w:rsidRPr="00863A19">
        <w:rPr>
          <w:rStyle w:val="a3"/>
          <w:rFonts w:ascii="微軟正黑體" w:eastAsia="微軟正黑體" w:hAnsi="微軟正黑體"/>
          <w:sz w:val="28"/>
          <w:szCs w:val="24"/>
        </w:rPr>
        <w:t>https://www.tax.com.tw/ClassDetail.aspx?eid=858&amp;web=3</w:t>
      </w:r>
    </w:p>
    <w:p w:rsidR="007C4936" w:rsidRDefault="007C4936" w:rsidP="005139F5">
      <w:pPr>
        <w:spacing w:before="120" w:line="180" w:lineRule="exact"/>
        <w:jc w:val="center"/>
        <w:rPr>
          <w:rFonts w:ascii="微軟正黑體" w:eastAsia="微軟正黑體" w:hAnsi="微軟正黑體" w:cs="Arial"/>
          <w:b/>
          <w:color w:val="444444"/>
          <w:sz w:val="20"/>
          <w:szCs w:val="20"/>
        </w:rPr>
      </w:pPr>
    </w:p>
    <w:p w:rsidR="005139F5" w:rsidRPr="000A329F" w:rsidRDefault="005139F5" w:rsidP="005139F5">
      <w:pPr>
        <w:spacing w:before="120" w:line="180" w:lineRule="exact"/>
        <w:jc w:val="center"/>
        <w:rPr>
          <w:rFonts w:ascii="微軟正黑體" w:eastAsia="微軟正黑體" w:hAnsi="微軟正黑體" w:cs="Arial"/>
          <w:b/>
          <w:color w:val="444444"/>
          <w:sz w:val="20"/>
          <w:szCs w:val="20"/>
        </w:rPr>
      </w:pPr>
      <w:r w:rsidRPr="000A329F">
        <w:rPr>
          <w:rFonts w:ascii="微軟正黑體" w:eastAsia="微軟正黑體" w:hAnsi="微軟正黑體" w:cs="Arial" w:hint="eastAsia"/>
          <w:b/>
          <w:color w:val="444444"/>
          <w:sz w:val="20"/>
          <w:szCs w:val="20"/>
        </w:rPr>
        <w:t>個人資料蒐集、處理及利用告知事項</w:t>
      </w:r>
    </w:p>
    <w:p w:rsidR="005139F5" w:rsidRPr="000A329F" w:rsidRDefault="005139F5" w:rsidP="005139F5">
      <w:pPr>
        <w:spacing w:line="180" w:lineRule="exact"/>
        <w:jc w:val="righ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M&amp;B-CPA-04版</w:t>
      </w:r>
    </w:p>
    <w:p w:rsidR="005139F5" w:rsidRPr="000A329F" w:rsidRDefault="005139F5" w:rsidP="005139F5">
      <w:pPr>
        <w:tabs>
          <w:tab w:val="left" w:pos="1701"/>
        </w:tabs>
        <w:adjustRightInd w:val="0"/>
        <w:snapToGrid w:val="0"/>
        <w:spacing w:beforeLines="50" w:before="180" w:afterLines="50" w:after="180"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本活動係由經濟部投資業務處、KPMG台灣所(安侯建業聯合會計師事務所、安侯企業管理股份有限公司、安侯國際財務顧問股份有限公司、安侯永續發展顧問股份有限公司、安侯資訊顧問股份有限公司、畢馬威財務諮詢股份有限公司、財團法人安侯建業教育基金會)共同舉辦。謹依個人資料保護法第8條規定告知以下事項：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701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蒐集單位：經濟部投資業務處、KPMG台灣所。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701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蒐集目的：活動參與、身分確認、客戶管理、提供服務、聯絡通知、行銷、統計、調查、研究等。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701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個人資料類別：中英文姓名、任職公司、部門、職級、通訊、Email、地址及其它得以直接或間接識別本人之資料；另購買本所刊物者需提供，如：金融機構帳戶之號碼、姓名與統一證號。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701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個人資料利用期間：上述蒐集目的(或特定目的)之存續期間。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701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個人資料利用地區：中華民國境內地區。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701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利用對象及方式：您的個人資料將由KPMG台灣所在上述蒐集目的之範圍內予以處理及利用。</w:t>
      </w:r>
    </w:p>
    <w:p w:rsidR="005139F5" w:rsidRPr="000A329F" w:rsidRDefault="005139F5" w:rsidP="005139F5">
      <w:pPr>
        <w:widowControl/>
        <w:numPr>
          <w:ilvl w:val="0"/>
          <w:numId w:val="1"/>
        </w:numPr>
        <w:tabs>
          <w:tab w:val="left" w:pos="1155"/>
        </w:tabs>
        <w:adjustRightInd w:val="0"/>
        <w:snapToGrid w:val="0"/>
        <w:spacing w:line="180" w:lineRule="exact"/>
        <w:rPr>
          <w:rFonts w:ascii="微軟正黑體" w:eastAsia="微軟正黑體" w:hAnsi="微軟正黑體" w:cs="Arial"/>
          <w:color w:val="444444"/>
          <w:sz w:val="16"/>
          <w:szCs w:val="16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您享有個人資料保護法第3條之權利：查詢或請求閱覽、請求製給複製本、請求補充或更正、請求停止蒐集、處理或利用、請求刪除。您可連絡KPMG台灣所為您處理。</w:t>
      </w:r>
      <w:r w:rsidRPr="000A329F">
        <w:rPr>
          <w:rFonts w:ascii="微軟正黑體" w:eastAsia="微軟正黑體" w:hAnsi="微軟正黑體" w:cs="Arial"/>
          <w:color w:val="444444"/>
          <w:sz w:val="16"/>
          <w:szCs w:val="16"/>
        </w:rPr>
        <w:br/>
      </w: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1.</w:t>
      </w: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ab/>
        <w:t>電話：02 8101 6666 #1</w:t>
      </w:r>
      <w:r w:rsidR="000663C5">
        <w:rPr>
          <w:rFonts w:ascii="微軟正黑體" w:eastAsia="微軟正黑體" w:hAnsi="微軟正黑體" w:cs="Arial" w:hint="eastAsia"/>
          <w:color w:val="444444"/>
          <w:sz w:val="16"/>
          <w:szCs w:val="16"/>
        </w:rPr>
        <w:t>7505</w:t>
      </w: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 xml:space="preserve"> </w:t>
      </w:r>
      <w:r w:rsidR="000663C5">
        <w:rPr>
          <w:rFonts w:ascii="微軟正黑體" w:eastAsia="微軟正黑體" w:hAnsi="微軟正黑體" w:cs="Arial" w:hint="eastAsia"/>
          <w:color w:val="444444"/>
          <w:sz w:val="16"/>
          <w:szCs w:val="16"/>
        </w:rPr>
        <w:t>關</w:t>
      </w: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 xml:space="preserve">小姐 </w:t>
      </w:r>
      <w:r w:rsidRPr="000A329F">
        <w:rPr>
          <w:rFonts w:ascii="微軟正黑體" w:eastAsia="微軟正黑體" w:hAnsi="微軟正黑體" w:cs="Arial"/>
          <w:color w:val="444444"/>
          <w:sz w:val="16"/>
          <w:szCs w:val="16"/>
        </w:rPr>
        <w:br/>
      </w: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2.</w:t>
      </w: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ab/>
        <w:t>服務時間：週一至週五09:00~18:00 (例假日除外)</w:t>
      </w:r>
    </w:p>
    <w:p w:rsidR="005139F5" w:rsidRDefault="005139F5" w:rsidP="005139F5">
      <w:pPr>
        <w:rPr>
          <w:rFonts w:ascii="Arial" w:hAnsi="Arial" w:cs="Arial"/>
          <w:color w:val="000000"/>
          <w:sz w:val="20"/>
          <w:szCs w:val="20"/>
        </w:rPr>
      </w:pPr>
      <w:r w:rsidRPr="000A329F">
        <w:rPr>
          <w:rFonts w:ascii="微軟正黑體" w:eastAsia="微軟正黑體" w:hAnsi="微軟正黑體" w:cs="Arial" w:hint="eastAsia"/>
          <w:color w:val="444444"/>
          <w:sz w:val="16"/>
          <w:szCs w:val="16"/>
        </w:rPr>
        <w:t>若您未能提供個人資料，將無法參加或得知經濟部投資業務處/ KPMG台灣所提供之相關服務或訊息。</w:t>
      </w:r>
    </w:p>
    <w:p w:rsidR="005139F5" w:rsidRPr="005139F5" w:rsidRDefault="005139F5" w:rsidP="005139F5">
      <w:pPr>
        <w:jc w:val="center"/>
        <w:textAlignment w:val="center"/>
        <w:rPr>
          <w:rFonts w:ascii="微軟正黑體" w:eastAsia="微軟正黑體" w:hAnsi="微軟正黑體" w:cs="新細明體"/>
          <w:b/>
          <w:color w:val="000000" w:themeColor="text1"/>
          <w:spacing w:val="15"/>
          <w:sz w:val="36"/>
          <w:szCs w:val="36"/>
        </w:rPr>
      </w:pPr>
    </w:p>
    <w:p w:rsidR="005139F5" w:rsidRPr="005139F5" w:rsidRDefault="005139F5" w:rsidP="005139F5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sectPr w:rsidR="005139F5" w:rsidRPr="005139F5" w:rsidSect="005139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B" w:rsidRDefault="009E4C0B" w:rsidP="00EA0863">
      <w:r>
        <w:separator/>
      </w:r>
    </w:p>
  </w:endnote>
  <w:endnote w:type="continuationSeparator" w:id="0">
    <w:p w:rsidR="009E4C0B" w:rsidRDefault="009E4C0B" w:rsidP="00EA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B" w:rsidRDefault="009E4C0B" w:rsidP="00EA0863">
      <w:r>
        <w:separator/>
      </w:r>
    </w:p>
  </w:footnote>
  <w:footnote w:type="continuationSeparator" w:id="0">
    <w:p w:rsidR="009E4C0B" w:rsidRDefault="009E4C0B" w:rsidP="00EA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C4C"/>
    <w:multiLevelType w:val="multilevel"/>
    <w:tmpl w:val="998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5"/>
    <w:rsid w:val="000663C5"/>
    <w:rsid w:val="000D5ED5"/>
    <w:rsid w:val="001807DF"/>
    <w:rsid w:val="00412554"/>
    <w:rsid w:val="00463C53"/>
    <w:rsid w:val="005139F5"/>
    <w:rsid w:val="00573B09"/>
    <w:rsid w:val="0079721B"/>
    <w:rsid w:val="007C4936"/>
    <w:rsid w:val="00863A19"/>
    <w:rsid w:val="009E4C0B"/>
    <w:rsid w:val="00A75A7A"/>
    <w:rsid w:val="00D00F79"/>
    <w:rsid w:val="00E83CA0"/>
    <w:rsid w:val="00E8721B"/>
    <w:rsid w:val="00E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EC189-DF93-4A4A-8AE5-31F762B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F5"/>
    <w:rPr>
      <w:color w:val="0563C1" w:themeColor="hyperlink"/>
      <w:u w:val="single"/>
    </w:rPr>
  </w:style>
  <w:style w:type="table" w:customStyle="1" w:styleId="5-51">
    <w:name w:val="格線表格 5 深色 - 輔色 51"/>
    <w:basedOn w:val="a1"/>
    <w:uiPriority w:val="50"/>
    <w:rsid w:val="005139F5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4">
    <w:name w:val="Table Grid"/>
    <w:basedOn w:val="a1"/>
    <w:uiPriority w:val="39"/>
    <w:rsid w:val="005139F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08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08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3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KPMG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Debra T.F. (TW/611P00)</dc:creator>
  <cp:lastModifiedBy>Ou Yang, Sandy Y.S. (TW/200200)</cp:lastModifiedBy>
  <cp:revision>1</cp:revision>
  <dcterms:created xsi:type="dcterms:W3CDTF">2018-08-07T08:54:00Z</dcterms:created>
  <dcterms:modified xsi:type="dcterms:W3CDTF">2018-09-26T10:41:00Z</dcterms:modified>
</cp:coreProperties>
</file>